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606E" w14:textId="77777777" w:rsidR="0039311C" w:rsidRDefault="0039311C" w:rsidP="0039311C">
      <w:pPr>
        <w:spacing w:line="440" w:lineRule="exact"/>
        <w:rPr>
          <w:rFonts w:ascii="宋体" w:eastAsia="宋体" w:hAnsi="宋体" w:cs="宋体"/>
          <w:b/>
          <w:sz w:val="24"/>
          <w:szCs w:val="24"/>
        </w:rPr>
      </w:pPr>
    </w:p>
    <w:p w14:paraId="2441E465" w14:textId="1A16435C" w:rsidR="009D2B62" w:rsidRPr="00FB1F87" w:rsidRDefault="009D2B62" w:rsidP="0039311C">
      <w:pPr>
        <w:spacing w:line="440" w:lineRule="exact"/>
        <w:rPr>
          <w:rFonts w:ascii="宋体" w:eastAsia="宋体" w:hAnsi="宋体" w:cs="宋体"/>
          <w:b/>
          <w:sz w:val="28"/>
          <w:szCs w:val="28"/>
        </w:rPr>
      </w:pPr>
      <w:r w:rsidRPr="00FB1F87">
        <w:rPr>
          <w:rFonts w:ascii="宋体" w:eastAsia="宋体" w:hAnsi="宋体" w:cs="宋体" w:hint="eastAsia"/>
          <w:b/>
          <w:sz w:val="28"/>
          <w:szCs w:val="28"/>
        </w:rPr>
        <w:t>附件</w:t>
      </w:r>
      <w:r w:rsidRPr="00FB1F87">
        <w:rPr>
          <w:rFonts w:ascii="宋体" w:eastAsia="宋体" w:hAnsi="宋体" w:cs="宋体"/>
          <w:b/>
          <w:sz w:val="28"/>
          <w:szCs w:val="28"/>
        </w:rPr>
        <w:t>1：20</w:t>
      </w:r>
      <w:r w:rsidR="005F64A6" w:rsidRPr="00FB1F87">
        <w:rPr>
          <w:rFonts w:ascii="宋体" w:eastAsia="宋体" w:hAnsi="宋体" w:cs="宋体" w:hint="eastAsia"/>
          <w:b/>
          <w:sz w:val="28"/>
          <w:szCs w:val="28"/>
        </w:rPr>
        <w:t>20</w:t>
      </w:r>
      <w:r w:rsidRPr="00FB1F87">
        <w:rPr>
          <w:rFonts w:ascii="宋体" w:eastAsia="宋体" w:hAnsi="宋体" w:cs="宋体"/>
          <w:b/>
          <w:sz w:val="28"/>
          <w:szCs w:val="28"/>
        </w:rPr>
        <w:t>年</w:t>
      </w:r>
      <w:r w:rsidRPr="00FB1F87">
        <w:rPr>
          <w:rFonts w:ascii="宋体" w:eastAsia="宋体" w:hAnsi="宋体" w:cs="宋体" w:hint="eastAsia"/>
          <w:b/>
          <w:sz w:val="28"/>
          <w:szCs w:val="28"/>
        </w:rPr>
        <w:t>蚌埠市</w:t>
      </w:r>
      <w:r w:rsidR="005F64A6" w:rsidRPr="00FB1F87">
        <w:rPr>
          <w:rFonts w:ascii="宋体" w:eastAsia="宋体" w:hAnsi="宋体" w:cs="宋体" w:hint="eastAsia"/>
          <w:b/>
          <w:sz w:val="28"/>
          <w:szCs w:val="28"/>
        </w:rPr>
        <w:t>可产业化成果资金</w:t>
      </w:r>
      <w:r w:rsidRPr="00FB1F87">
        <w:rPr>
          <w:rFonts w:ascii="宋体" w:eastAsia="宋体" w:hAnsi="宋体" w:cs="宋体"/>
          <w:b/>
          <w:sz w:val="28"/>
          <w:szCs w:val="28"/>
        </w:rPr>
        <w:t>项目第一批</w:t>
      </w:r>
      <w:r w:rsidR="00CE2CB8">
        <w:rPr>
          <w:rFonts w:ascii="宋体" w:eastAsia="宋体" w:hAnsi="宋体" w:cs="宋体" w:hint="eastAsia"/>
          <w:b/>
          <w:sz w:val="28"/>
          <w:szCs w:val="28"/>
        </w:rPr>
        <w:t>需求</w:t>
      </w:r>
      <w:r w:rsidR="00CE2CB8">
        <w:rPr>
          <w:rFonts w:ascii="宋体" w:eastAsia="宋体" w:hAnsi="宋体" w:cs="宋体"/>
          <w:b/>
          <w:sz w:val="28"/>
          <w:szCs w:val="28"/>
        </w:rPr>
        <w:t>指南</w:t>
      </w:r>
    </w:p>
    <w:p w14:paraId="4DFA884A" w14:textId="77777777" w:rsidR="0039311C" w:rsidRPr="0039311C" w:rsidRDefault="0039311C" w:rsidP="0039311C">
      <w:pPr>
        <w:spacing w:line="440" w:lineRule="exact"/>
        <w:rPr>
          <w:rFonts w:ascii="宋体" w:eastAsia="宋体" w:hAnsi="宋体" w:cs="宋体"/>
          <w:b/>
          <w:sz w:val="24"/>
          <w:szCs w:val="24"/>
        </w:rPr>
      </w:pPr>
    </w:p>
    <w:tbl>
      <w:tblPr>
        <w:tblStyle w:val="a3"/>
        <w:tblW w:w="9209" w:type="dxa"/>
        <w:jc w:val="center"/>
        <w:tblLayout w:type="fixed"/>
        <w:tblLook w:val="04A0" w:firstRow="1" w:lastRow="0" w:firstColumn="1" w:lastColumn="0" w:noHBand="0" w:noVBand="1"/>
      </w:tblPr>
      <w:tblGrid>
        <w:gridCol w:w="846"/>
        <w:gridCol w:w="2551"/>
        <w:gridCol w:w="5812"/>
      </w:tblGrid>
      <w:tr w:rsidR="009D2B62" w:rsidRPr="00FB1F87" w14:paraId="499AC6D8" w14:textId="77777777" w:rsidTr="00D60506">
        <w:trPr>
          <w:jc w:val="center"/>
        </w:trPr>
        <w:tc>
          <w:tcPr>
            <w:tcW w:w="846" w:type="dxa"/>
            <w:vAlign w:val="center"/>
          </w:tcPr>
          <w:p w14:paraId="0EE3AA52" w14:textId="53A16E7C" w:rsidR="009D2B62" w:rsidRPr="00FB1F87" w:rsidRDefault="009D2B62" w:rsidP="009B1399">
            <w:pPr>
              <w:jc w:val="center"/>
              <w:rPr>
                <w:rFonts w:asciiTheme="minorEastAsia" w:hAnsiTheme="minorEastAsia"/>
                <w:b/>
                <w:bCs/>
                <w:sz w:val="24"/>
                <w:szCs w:val="24"/>
              </w:rPr>
            </w:pPr>
            <w:r w:rsidRPr="00FB1F87">
              <w:rPr>
                <w:rFonts w:asciiTheme="minorEastAsia" w:hAnsiTheme="minorEastAsia" w:hint="eastAsia"/>
                <w:b/>
                <w:bCs/>
                <w:sz w:val="24"/>
                <w:szCs w:val="24"/>
              </w:rPr>
              <w:t>编号</w:t>
            </w:r>
          </w:p>
        </w:tc>
        <w:tc>
          <w:tcPr>
            <w:tcW w:w="2551" w:type="dxa"/>
            <w:vAlign w:val="center"/>
          </w:tcPr>
          <w:p w14:paraId="4F09C509" w14:textId="77777777" w:rsidR="009D2B62" w:rsidRPr="00FB1F87" w:rsidRDefault="009D2B62" w:rsidP="009B1399">
            <w:pPr>
              <w:jc w:val="center"/>
              <w:rPr>
                <w:rFonts w:asciiTheme="minorEastAsia" w:hAnsiTheme="minorEastAsia"/>
                <w:b/>
                <w:bCs/>
                <w:sz w:val="24"/>
                <w:szCs w:val="24"/>
              </w:rPr>
            </w:pPr>
            <w:r w:rsidRPr="00FB1F87">
              <w:rPr>
                <w:rFonts w:asciiTheme="minorEastAsia" w:hAnsiTheme="minorEastAsia" w:hint="eastAsia"/>
                <w:b/>
                <w:bCs/>
                <w:sz w:val="24"/>
                <w:szCs w:val="24"/>
              </w:rPr>
              <w:t>需求名称</w:t>
            </w:r>
          </w:p>
        </w:tc>
        <w:tc>
          <w:tcPr>
            <w:tcW w:w="5812" w:type="dxa"/>
            <w:vAlign w:val="center"/>
          </w:tcPr>
          <w:p w14:paraId="44D8BB6B" w14:textId="77777777" w:rsidR="009D2B62" w:rsidRPr="00FB1F87" w:rsidRDefault="009D2B62" w:rsidP="009B1399">
            <w:pPr>
              <w:jc w:val="center"/>
              <w:rPr>
                <w:rFonts w:asciiTheme="minorEastAsia" w:hAnsiTheme="minorEastAsia"/>
                <w:b/>
                <w:bCs/>
                <w:sz w:val="24"/>
                <w:szCs w:val="24"/>
              </w:rPr>
            </w:pPr>
            <w:r w:rsidRPr="00FB1F87">
              <w:rPr>
                <w:rFonts w:asciiTheme="minorEastAsia" w:hAnsiTheme="minorEastAsia" w:hint="eastAsia"/>
                <w:b/>
                <w:bCs/>
                <w:sz w:val="24"/>
                <w:szCs w:val="24"/>
              </w:rPr>
              <w:t>需求内容</w:t>
            </w:r>
          </w:p>
        </w:tc>
      </w:tr>
      <w:tr w:rsidR="00291C90" w:rsidRPr="00BE3D62" w14:paraId="75F90FAE" w14:textId="77777777" w:rsidTr="00D60506">
        <w:trPr>
          <w:jc w:val="center"/>
        </w:trPr>
        <w:tc>
          <w:tcPr>
            <w:tcW w:w="846" w:type="dxa"/>
            <w:vAlign w:val="center"/>
          </w:tcPr>
          <w:p w14:paraId="56374D2A" w14:textId="09C8D76A" w:rsidR="00291C90" w:rsidRPr="00FB1F87" w:rsidRDefault="00291C90" w:rsidP="009B1399">
            <w:pPr>
              <w:rPr>
                <w:rFonts w:asciiTheme="minorEastAsia" w:hAnsiTheme="minorEastAsia"/>
                <w:sz w:val="24"/>
                <w:szCs w:val="24"/>
              </w:rPr>
            </w:pPr>
            <w:r>
              <w:rPr>
                <w:rFonts w:asciiTheme="minorEastAsia" w:hAnsiTheme="minorEastAsia"/>
                <w:sz w:val="24"/>
                <w:szCs w:val="24"/>
              </w:rPr>
              <w:t>1</w:t>
            </w:r>
          </w:p>
        </w:tc>
        <w:tc>
          <w:tcPr>
            <w:tcW w:w="2551" w:type="dxa"/>
            <w:vAlign w:val="center"/>
          </w:tcPr>
          <w:p w14:paraId="22982A50" w14:textId="32ED93DB" w:rsidR="00291C90" w:rsidRDefault="00291C90" w:rsidP="009B1399">
            <w:pPr>
              <w:rPr>
                <w:rFonts w:asciiTheme="minorEastAsia" w:hAnsiTheme="minorEastAsia"/>
                <w:sz w:val="24"/>
                <w:szCs w:val="24"/>
              </w:rPr>
            </w:pPr>
            <w:r w:rsidRPr="00162271">
              <w:rPr>
                <w:rFonts w:asciiTheme="minorEastAsia" w:hAnsiTheme="minorEastAsia" w:hint="eastAsia"/>
                <w:sz w:val="24"/>
                <w:szCs w:val="24"/>
              </w:rPr>
              <w:t>可产业化VC棕榈酸酯转化率提升技术</w:t>
            </w:r>
          </w:p>
        </w:tc>
        <w:tc>
          <w:tcPr>
            <w:tcW w:w="5812" w:type="dxa"/>
            <w:vAlign w:val="center"/>
          </w:tcPr>
          <w:p w14:paraId="429C01AD" w14:textId="11754877" w:rsidR="00291C90" w:rsidRDefault="00291C90" w:rsidP="009B1399">
            <w:pPr>
              <w:ind w:firstLineChars="200" w:firstLine="480"/>
              <w:rPr>
                <w:rFonts w:asciiTheme="minorEastAsia" w:hAnsiTheme="minorEastAsia"/>
                <w:sz w:val="24"/>
                <w:szCs w:val="24"/>
              </w:rPr>
            </w:pPr>
            <w:r>
              <w:rPr>
                <w:rFonts w:asciiTheme="minorEastAsia" w:hAnsiTheme="minorEastAsia" w:hint="eastAsia"/>
                <w:sz w:val="24"/>
                <w:szCs w:val="24"/>
              </w:rPr>
              <w:t>基于当前VC棕榈脂</w:t>
            </w:r>
            <w:r w:rsidRPr="00E41770">
              <w:rPr>
                <w:rFonts w:asciiTheme="minorEastAsia" w:hAnsiTheme="minorEastAsia" w:hint="eastAsia"/>
                <w:sz w:val="24"/>
                <w:szCs w:val="24"/>
              </w:rPr>
              <w:t>产品在工业合成生产中需要大量强酸，反应收率低，设备腐蚀性强，后处理困难，产品纯度不达标，排放物会污染自然水系和地下水，影响或危害生态环境等一系列难点问题</w:t>
            </w:r>
            <w:r>
              <w:rPr>
                <w:rFonts w:asciiTheme="minorEastAsia" w:hAnsiTheme="minorEastAsia" w:hint="eastAsia"/>
                <w:sz w:val="24"/>
                <w:szCs w:val="24"/>
              </w:rPr>
              <w:t>，</w:t>
            </w:r>
            <w:r w:rsidRPr="00E41770">
              <w:rPr>
                <w:rFonts w:asciiTheme="minorEastAsia" w:hAnsiTheme="minorEastAsia" w:hint="eastAsia"/>
                <w:sz w:val="24"/>
                <w:szCs w:val="24"/>
              </w:rPr>
              <w:t>研发一种利用廉价催化剂实现产品低污染、高效率的绿色合成生产工艺，避免在生产中使用大量强酸，提高反应的转化率和选择性，增加产品纯度以达到国家相关标准，降低产品生产的成本和能耗，有效解决当前合成工艺中的三废问题，为产品更加经济、环保的工业生产提供良好的技术支撑。</w:t>
            </w:r>
          </w:p>
        </w:tc>
      </w:tr>
      <w:tr w:rsidR="00291C90" w:rsidRPr="00FB1F87" w14:paraId="009EEBB4" w14:textId="77777777" w:rsidTr="00D60506">
        <w:trPr>
          <w:jc w:val="center"/>
        </w:trPr>
        <w:tc>
          <w:tcPr>
            <w:tcW w:w="846" w:type="dxa"/>
            <w:vAlign w:val="center"/>
          </w:tcPr>
          <w:p w14:paraId="6EDB6B23" w14:textId="13466C64" w:rsidR="00291C90" w:rsidRPr="00FB1F87" w:rsidRDefault="00291C90" w:rsidP="009B1399">
            <w:pPr>
              <w:rPr>
                <w:rFonts w:asciiTheme="minorEastAsia" w:hAnsiTheme="minorEastAsia"/>
                <w:sz w:val="24"/>
                <w:szCs w:val="24"/>
              </w:rPr>
            </w:pPr>
            <w:r>
              <w:rPr>
                <w:rFonts w:asciiTheme="minorEastAsia" w:hAnsiTheme="minorEastAsia"/>
                <w:sz w:val="24"/>
                <w:szCs w:val="24"/>
              </w:rPr>
              <w:t>2</w:t>
            </w:r>
          </w:p>
        </w:tc>
        <w:tc>
          <w:tcPr>
            <w:tcW w:w="2551" w:type="dxa"/>
            <w:vAlign w:val="center"/>
          </w:tcPr>
          <w:p w14:paraId="72AA1154" w14:textId="0A39A6A0" w:rsidR="00291C90" w:rsidRDefault="00291C90" w:rsidP="009B1399">
            <w:pPr>
              <w:rPr>
                <w:rFonts w:asciiTheme="minorEastAsia" w:hAnsiTheme="minorEastAsia"/>
                <w:sz w:val="24"/>
                <w:szCs w:val="24"/>
              </w:rPr>
            </w:pPr>
            <w:r w:rsidRPr="00162271">
              <w:rPr>
                <w:rFonts w:asciiTheme="minorEastAsia" w:hAnsiTheme="minorEastAsia" w:hint="eastAsia"/>
                <w:sz w:val="24"/>
                <w:szCs w:val="24"/>
              </w:rPr>
              <w:t>可产业化库存粮食制乙醇浓度提高技术</w:t>
            </w:r>
          </w:p>
        </w:tc>
        <w:tc>
          <w:tcPr>
            <w:tcW w:w="5812" w:type="dxa"/>
            <w:vAlign w:val="center"/>
          </w:tcPr>
          <w:p w14:paraId="0167A7D9" w14:textId="3E60F9BC" w:rsidR="00291C90" w:rsidRDefault="00291C90" w:rsidP="009B1399">
            <w:pPr>
              <w:ind w:firstLineChars="200" w:firstLine="480"/>
              <w:rPr>
                <w:rFonts w:asciiTheme="minorEastAsia" w:hAnsiTheme="minorEastAsia"/>
                <w:sz w:val="24"/>
                <w:szCs w:val="24"/>
              </w:rPr>
            </w:pPr>
            <w:r>
              <w:rPr>
                <w:rFonts w:asciiTheme="minorEastAsia" w:hAnsiTheme="minorEastAsia" w:hint="eastAsia"/>
                <w:sz w:val="24"/>
                <w:szCs w:val="24"/>
              </w:rPr>
              <w:t>针对目前</w:t>
            </w:r>
            <w:r w:rsidRPr="00162271">
              <w:rPr>
                <w:rFonts w:asciiTheme="minorEastAsia" w:hAnsiTheme="minorEastAsia" w:hint="eastAsia"/>
                <w:sz w:val="24"/>
                <w:szCs w:val="24"/>
              </w:rPr>
              <w:t>小麦与库存水稻的混合物制造乙醇</w:t>
            </w:r>
            <w:r>
              <w:rPr>
                <w:rFonts w:asciiTheme="minorEastAsia" w:hAnsiTheme="minorEastAsia" w:hint="eastAsia"/>
                <w:sz w:val="24"/>
                <w:szCs w:val="24"/>
              </w:rPr>
              <w:t>，转化纯度低，生产成本高，库存粮食利用率较低</w:t>
            </w:r>
            <w:r>
              <w:rPr>
                <w:rFonts w:asciiTheme="minorEastAsia" w:hAnsiTheme="minorEastAsia"/>
                <w:sz w:val="24"/>
                <w:szCs w:val="24"/>
              </w:rPr>
              <w:t>等</w:t>
            </w:r>
            <w:r>
              <w:rPr>
                <w:rFonts w:asciiTheme="minorEastAsia" w:hAnsiTheme="minorEastAsia" w:hint="eastAsia"/>
                <w:sz w:val="24"/>
                <w:szCs w:val="24"/>
              </w:rPr>
              <w:t>难点，开发提高提高乙醇转化</w:t>
            </w:r>
            <w:r>
              <w:rPr>
                <w:rFonts w:asciiTheme="minorEastAsia" w:hAnsiTheme="minorEastAsia"/>
                <w:sz w:val="24"/>
                <w:szCs w:val="24"/>
              </w:rPr>
              <w:t>纯度</w:t>
            </w:r>
            <w:r>
              <w:rPr>
                <w:rFonts w:asciiTheme="minorEastAsia" w:hAnsiTheme="minorEastAsia" w:hint="eastAsia"/>
                <w:sz w:val="24"/>
                <w:szCs w:val="24"/>
              </w:rPr>
              <w:t>技术，且实现成本可控</w:t>
            </w:r>
            <w:r w:rsidRPr="00162271">
              <w:rPr>
                <w:rFonts w:asciiTheme="minorEastAsia" w:hAnsiTheme="minorEastAsia" w:hint="eastAsia"/>
                <w:sz w:val="24"/>
                <w:szCs w:val="24"/>
              </w:rPr>
              <w:t>。目前的小麦转化乙醇（传统转化技术）的浓度在13-15%，要求提高乙醇的转化纯度，目标值区间16-18%。</w:t>
            </w:r>
          </w:p>
        </w:tc>
      </w:tr>
      <w:tr w:rsidR="00291C90" w:rsidRPr="00FB1F87" w14:paraId="0B065A62" w14:textId="77777777" w:rsidTr="00D60506">
        <w:trPr>
          <w:jc w:val="center"/>
        </w:trPr>
        <w:tc>
          <w:tcPr>
            <w:tcW w:w="846" w:type="dxa"/>
            <w:vAlign w:val="center"/>
          </w:tcPr>
          <w:p w14:paraId="6BC510E3" w14:textId="46577732" w:rsidR="00291C90" w:rsidRPr="00FB1F87" w:rsidRDefault="00291C90" w:rsidP="009B1399">
            <w:pPr>
              <w:rPr>
                <w:rFonts w:asciiTheme="minorEastAsia" w:hAnsiTheme="minorEastAsia"/>
                <w:sz w:val="24"/>
                <w:szCs w:val="24"/>
              </w:rPr>
            </w:pPr>
            <w:r>
              <w:rPr>
                <w:rFonts w:asciiTheme="minorEastAsia" w:hAnsiTheme="minorEastAsia"/>
                <w:sz w:val="24"/>
                <w:szCs w:val="24"/>
              </w:rPr>
              <w:t>3</w:t>
            </w:r>
          </w:p>
        </w:tc>
        <w:tc>
          <w:tcPr>
            <w:tcW w:w="2551" w:type="dxa"/>
            <w:vAlign w:val="center"/>
          </w:tcPr>
          <w:p w14:paraId="0225B829" w14:textId="4869C61B" w:rsidR="00291C90" w:rsidRDefault="00291C90" w:rsidP="009B1399">
            <w:pPr>
              <w:rPr>
                <w:rFonts w:asciiTheme="minorEastAsia" w:hAnsiTheme="minorEastAsia"/>
                <w:sz w:val="24"/>
                <w:szCs w:val="24"/>
              </w:rPr>
            </w:pPr>
            <w:r w:rsidRPr="00162271">
              <w:rPr>
                <w:rFonts w:asciiTheme="minorEastAsia" w:hAnsiTheme="minorEastAsia" w:hint="eastAsia"/>
                <w:sz w:val="24"/>
                <w:szCs w:val="24"/>
              </w:rPr>
              <w:t>高硬变点玻璃稳定5</w:t>
            </w:r>
            <w:r w:rsidRPr="00162271">
              <w:rPr>
                <w:rFonts w:asciiTheme="minorEastAsia" w:hAnsiTheme="minorEastAsia"/>
                <w:sz w:val="24"/>
                <w:szCs w:val="24"/>
              </w:rPr>
              <w:t>0</w:t>
            </w:r>
            <w:r w:rsidRPr="00162271">
              <w:rPr>
                <w:rFonts w:asciiTheme="minorEastAsia" w:hAnsiTheme="minorEastAsia" w:hint="eastAsia"/>
                <w:sz w:val="24"/>
                <w:szCs w:val="24"/>
              </w:rPr>
              <w:t>度斑马角度量产技术</w:t>
            </w:r>
          </w:p>
        </w:tc>
        <w:tc>
          <w:tcPr>
            <w:tcW w:w="5812" w:type="dxa"/>
            <w:vAlign w:val="center"/>
          </w:tcPr>
          <w:p w14:paraId="7C16A008" w14:textId="7F53F0F1" w:rsidR="00291C90" w:rsidRDefault="00291C90" w:rsidP="009B1399">
            <w:pPr>
              <w:ind w:firstLineChars="200" w:firstLine="480"/>
              <w:rPr>
                <w:rFonts w:asciiTheme="minorEastAsia" w:hAnsiTheme="minorEastAsia"/>
                <w:sz w:val="24"/>
                <w:szCs w:val="24"/>
              </w:rPr>
            </w:pPr>
            <w:r>
              <w:rPr>
                <w:rFonts w:asciiTheme="minorEastAsia" w:hAnsiTheme="minorEastAsia" w:hint="eastAsia"/>
                <w:sz w:val="24"/>
                <w:szCs w:val="24"/>
              </w:rPr>
              <w:t>针对</w:t>
            </w:r>
            <w:r w:rsidRPr="00162271">
              <w:rPr>
                <w:rFonts w:asciiTheme="minorEastAsia" w:hAnsiTheme="minorEastAsia" w:hint="eastAsia"/>
                <w:sz w:val="24"/>
                <w:szCs w:val="24"/>
              </w:rPr>
              <w:t>现有</w:t>
            </w:r>
            <w:r w:rsidR="00BE3D62">
              <w:rPr>
                <w:rFonts w:asciiTheme="minorEastAsia" w:hAnsiTheme="minorEastAsia" w:hint="eastAsia"/>
                <w:sz w:val="24"/>
                <w:szCs w:val="24"/>
              </w:rPr>
              <w:t>剥离</w:t>
            </w:r>
            <w:r w:rsidRPr="00162271">
              <w:rPr>
                <w:rFonts w:asciiTheme="minorEastAsia" w:hAnsiTheme="minorEastAsia" w:hint="eastAsia"/>
                <w:sz w:val="24"/>
                <w:szCs w:val="24"/>
              </w:rPr>
              <w:t>制造工序</w:t>
            </w:r>
            <w:r>
              <w:rPr>
                <w:rFonts w:asciiTheme="minorEastAsia" w:hAnsiTheme="minorEastAsia" w:hint="eastAsia"/>
                <w:sz w:val="24"/>
                <w:szCs w:val="24"/>
              </w:rPr>
              <w:t>（</w:t>
            </w:r>
            <w:r w:rsidRPr="00162271">
              <w:rPr>
                <w:rFonts w:asciiTheme="minorEastAsia" w:hAnsiTheme="minorEastAsia" w:hint="eastAsia"/>
                <w:sz w:val="24"/>
                <w:szCs w:val="24"/>
              </w:rPr>
              <w:t>原料搅拌--熔化（高温1535</w:t>
            </w:r>
            <w:r>
              <w:rPr>
                <w:rFonts w:asciiTheme="minorEastAsia" w:hAnsiTheme="minorEastAsia"/>
                <w:sz w:val="24"/>
                <w:szCs w:val="24"/>
              </w:rPr>
              <w:t>℃</w:t>
            </w:r>
            <w:r w:rsidRPr="00162271">
              <w:rPr>
                <w:rFonts w:asciiTheme="minorEastAsia" w:hAnsiTheme="minorEastAsia" w:hint="eastAsia"/>
                <w:sz w:val="24"/>
                <w:szCs w:val="24"/>
              </w:rPr>
              <w:t>熔化）-搅拌（将液态的原料成分搅拌均匀）--成型（按照客户的要求将液态原料注入不同的模型中或槽中）--退火（冷却成型玻璃）</w:t>
            </w:r>
            <w:r>
              <w:rPr>
                <w:rFonts w:asciiTheme="minorEastAsia" w:hAnsiTheme="minorEastAsia" w:hint="eastAsia"/>
                <w:sz w:val="24"/>
                <w:szCs w:val="24"/>
              </w:rPr>
              <w:t>，生产出的</w:t>
            </w:r>
            <w:r w:rsidRPr="00162271">
              <w:rPr>
                <w:rFonts w:asciiTheme="minorEastAsia" w:hAnsiTheme="minorEastAsia" w:hint="eastAsia"/>
                <w:sz w:val="24"/>
                <w:szCs w:val="24"/>
              </w:rPr>
              <w:t>玻璃产品角度参数极不稳定</w:t>
            </w:r>
            <w:r>
              <w:rPr>
                <w:rFonts w:asciiTheme="minorEastAsia" w:hAnsiTheme="minorEastAsia" w:hint="eastAsia"/>
                <w:sz w:val="24"/>
                <w:szCs w:val="24"/>
              </w:rPr>
              <w:t>的问题</w:t>
            </w:r>
            <w:r w:rsidRPr="00162271">
              <w:rPr>
                <w:rFonts w:asciiTheme="minorEastAsia" w:hAnsiTheme="minorEastAsia" w:hint="eastAsia"/>
                <w:sz w:val="24"/>
                <w:szCs w:val="24"/>
              </w:rPr>
              <w:t>。</w:t>
            </w:r>
            <w:r>
              <w:rPr>
                <w:rFonts w:asciiTheme="minorEastAsia" w:hAnsiTheme="minorEastAsia" w:hint="eastAsia"/>
                <w:sz w:val="24"/>
                <w:szCs w:val="24"/>
              </w:rPr>
              <w:t>开发能够</w:t>
            </w:r>
            <w:r w:rsidRPr="00162271">
              <w:rPr>
                <w:rFonts w:asciiTheme="minorEastAsia" w:hAnsiTheme="minorEastAsia" w:hint="eastAsia"/>
                <w:sz w:val="24"/>
                <w:szCs w:val="24"/>
              </w:rPr>
              <w:t>生产出的玻璃硬变点在540及以上，斑马折射角度为大于等于50度</w:t>
            </w:r>
            <w:r>
              <w:rPr>
                <w:rFonts w:asciiTheme="minorEastAsia" w:hAnsiTheme="minorEastAsia" w:hint="eastAsia"/>
                <w:sz w:val="24"/>
                <w:szCs w:val="24"/>
              </w:rPr>
              <w:t>，且实现稳定量产</w:t>
            </w:r>
            <w:r>
              <w:rPr>
                <w:rFonts w:asciiTheme="minorEastAsia" w:hAnsiTheme="minorEastAsia"/>
                <w:sz w:val="24"/>
                <w:szCs w:val="24"/>
              </w:rPr>
              <w:t>的工艺技术</w:t>
            </w:r>
            <w:r>
              <w:rPr>
                <w:rFonts w:asciiTheme="minorEastAsia" w:hAnsiTheme="minorEastAsia" w:hint="eastAsia"/>
                <w:sz w:val="24"/>
                <w:szCs w:val="24"/>
              </w:rPr>
              <w:t>。</w:t>
            </w:r>
          </w:p>
        </w:tc>
      </w:tr>
      <w:tr w:rsidR="00291C90" w:rsidRPr="00FB1F87" w14:paraId="383085CE" w14:textId="77777777" w:rsidTr="00D60506">
        <w:trPr>
          <w:jc w:val="center"/>
        </w:trPr>
        <w:tc>
          <w:tcPr>
            <w:tcW w:w="846" w:type="dxa"/>
            <w:vAlign w:val="center"/>
          </w:tcPr>
          <w:p w14:paraId="0DC61561" w14:textId="0BD7ACBF" w:rsidR="00291C90" w:rsidRPr="00FB1F87" w:rsidRDefault="00291C90" w:rsidP="009B1399">
            <w:pPr>
              <w:rPr>
                <w:rFonts w:asciiTheme="minorEastAsia" w:hAnsiTheme="minorEastAsia"/>
                <w:sz w:val="24"/>
                <w:szCs w:val="24"/>
              </w:rPr>
            </w:pPr>
            <w:r>
              <w:rPr>
                <w:rFonts w:asciiTheme="minorEastAsia" w:hAnsiTheme="minorEastAsia"/>
                <w:sz w:val="24"/>
                <w:szCs w:val="24"/>
              </w:rPr>
              <w:t>4</w:t>
            </w:r>
          </w:p>
        </w:tc>
        <w:tc>
          <w:tcPr>
            <w:tcW w:w="2551" w:type="dxa"/>
            <w:vAlign w:val="center"/>
          </w:tcPr>
          <w:p w14:paraId="032EF16D" w14:textId="69514BB8" w:rsidR="00291C90" w:rsidRDefault="00291C90" w:rsidP="009B1399">
            <w:pPr>
              <w:rPr>
                <w:rFonts w:asciiTheme="minorEastAsia" w:hAnsiTheme="minorEastAsia"/>
                <w:sz w:val="24"/>
                <w:szCs w:val="24"/>
              </w:rPr>
            </w:pPr>
            <w:r w:rsidRPr="00157C0B">
              <w:rPr>
                <w:rFonts w:asciiTheme="minorEastAsia" w:hAnsiTheme="minorEastAsia" w:hint="eastAsia"/>
                <w:sz w:val="24"/>
                <w:szCs w:val="24"/>
              </w:rPr>
              <w:t>产业化低电阻导电膜</w:t>
            </w:r>
            <w:r>
              <w:rPr>
                <w:rFonts w:asciiTheme="minorEastAsia" w:hAnsiTheme="minorEastAsia" w:hint="eastAsia"/>
                <w:sz w:val="24"/>
                <w:szCs w:val="24"/>
              </w:rPr>
              <w:t>材料</w:t>
            </w:r>
          </w:p>
        </w:tc>
        <w:tc>
          <w:tcPr>
            <w:tcW w:w="5812" w:type="dxa"/>
            <w:vAlign w:val="center"/>
          </w:tcPr>
          <w:p w14:paraId="3AF08524" w14:textId="2A5685B1" w:rsidR="00291C90" w:rsidRDefault="00291C90" w:rsidP="009B1399">
            <w:pPr>
              <w:ind w:firstLineChars="200" w:firstLine="480"/>
              <w:rPr>
                <w:rFonts w:asciiTheme="minorEastAsia" w:hAnsiTheme="minorEastAsia"/>
                <w:sz w:val="24"/>
                <w:szCs w:val="24"/>
              </w:rPr>
            </w:pPr>
            <w:r>
              <w:rPr>
                <w:rFonts w:asciiTheme="minorEastAsia" w:hAnsiTheme="minorEastAsia" w:hint="eastAsia"/>
                <w:sz w:val="24"/>
                <w:szCs w:val="24"/>
              </w:rPr>
              <w:t>基于</w:t>
            </w:r>
            <w:r w:rsidRPr="005403B3">
              <w:rPr>
                <w:rFonts w:asciiTheme="minorEastAsia" w:hAnsiTheme="minorEastAsia" w:hint="eastAsia"/>
                <w:sz w:val="24"/>
                <w:szCs w:val="24"/>
              </w:rPr>
              <w:t>现有ITO导电膜生产技术</w:t>
            </w:r>
            <w:r>
              <w:rPr>
                <w:rFonts w:asciiTheme="minorEastAsia" w:hAnsiTheme="minorEastAsia"/>
                <w:sz w:val="24"/>
                <w:szCs w:val="24"/>
              </w:rPr>
              <w:t>得到的膜材料存在</w:t>
            </w:r>
            <w:r w:rsidRPr="005403B3">
              <w:rPr>
                <w:rFonts w:asciiTheme="minorEastAsia" w:hAnsiTheme="minorEastAsia" w:hint="eastAsia"/>
                <w:sz w:val="24"/>
                <w:szCs w:val="24"/>
              </w:rPr>
              <w:t>电阻</w:t>
            </w:r>
            <w:r>
              <w:rPr>
                <w:rFonts w:asciiTheme="minorEastAsia" w:hAnsiTheme="minorEastAsia" w:hint="eastAsia"/>
                <w:sz w:val="24"/>
                <w:szCs w:val="24"/>
              </w:rPr>
              <w:t>高，不能满足大尺寸触控显示终端配套等问题。开展可产业化低电阻导电膜材料的研究，实现大屏幕显示终端导电膜量产</w:t>
            </w:r>
            <w:r w:rsidR="00BE3D62">
              <w:rPr>
                <w:rFonts w:asciiTheme="minorEastAsia" w:hAnsiTheme="minorEastAsia" w:hint="eastAsia"/>
                <w:sz w:val="24"/>
                <w:szCs w:val="24"/>
              </w:rPr>
              <w:t>；</w:t>
            </w:r>
            <w:r>
              <w:rPr>
                <w:rFonts w:asciiTheme="minorEastAsia" w:hAnsiTheme="minorEastAsia" w:hint="eastAsia"/>
                <w:sz w:val="24"/>
                <w:szCs w:val="24"/>
              </w:rPr>
              <w:t>拓宽产品线，要求该产品膜</w:t>
            </w:r>
            <w:r w:rsidRPr="005403B3">
              <w:rPr>
                <w:rFonts w:asciiTheme="minorEastAsia" w:hAnsiTheme="minorEastAsia" w:hint="eastAsia"/>
                <w:sz w:val="24"/>
                <w:szCs w:val="24"/>
              </w:rPr>
              <w:t>透光率86%以上，电阻值</w:t>
            </w:r>
            <w:r>
              <w:rPr>
                <w:rFonts w:asciiTheme="minorEastAsia" w:hAnsiTheme="minorEastAsia" w:hint="eastAsia"/>
                <w:sz w:val="24"/>
                <w:szCs w:val="24"/>
              </w:rPr>
              <w:t>与</w:t>
            </w:r>
            <w:r w:rsidRPr="005403B3">
              <w:rPr>
                <w:rFonts w:asciiTheme="minorEastAsia" w:hAnsiTheme="minorEastAsia" w:hint="eastAsia"/>
                <w:sz w:val="24"/>
                <w:szCs w:val="24"/>
              </w:rPr>
              <w:t>抗紫外性能稳定（稳定2年以上），满足适配86</w:t>
            </w:r>
            <w:r>
              <w:rPr>
                <w:rFonts w:asciiTheme="minorEastAsia" w:hAnsiTheme="minorEastAsia" w:hint="eastAsia"/>
                <w:sz w:val="24"/>
                <w:szCs w:val="24"/>
              </w:rPr>
              <w:t>-</w:t>
            </w:r>
            <w:r w:rsidRPr="005403B3">
              <w:rPr>
                <w:rFonts w:asciiTheme="minorEastAsia" w:hAnsiTheme="minorEastAsia" w:hint="eastAsia"/>
                <w:sz w:val="24"/>
                <w:szCs w:val="24"/>
              </w:rPr>
              <w:t>100寸触控显示终端产品需求。</w:t>
            </w:r>
          </w:p>
        </w:tc>
      </w:tr>
      <w:tr w:rsidR="00291C90" w:rsidRPr="00FB1F87" w14:paraId="7A73F5FC" w14:textId="77777777" w:rsidTr="00D60506">
        <w:trPr>
          <w:jc w:val="center"/>
        </w:trPr>
        <w:tc>
          <w:tcPr>
            <w:tcW w:w="846" w:type="dxa"/>
            <w:vAlign w:val="center"/>
          </w:tcPr>
          <w:p w14:paraId="388A0481" w14:textId="77D6AD20" w:rsidR="00291C90" w:rsidRPr="00FB1F87" w:rsidRDefault="00291C90" w:rsidP="009B1399">
            <w:pPr>
              <w:rPr>
                <w:rFonts w:asciiTheme="minorEastAsia" w:hAnsiTheme="minorEastAsia"/>
                <w:sz w:val="24"/>
                <w:szCs w:val="24"/>
              </w:rPr>
            </w:pPr>
            <w:r>
              <w:rPr>
                <w:rFonts w:asciiTheme="minorEastAsia" w:hAnsiTheme="minorEastAsia"/>
                <w:sz w:val="24"/>
                <w:szCs w:val="24"/>
              </w:rPr>
              <w:t>5</w:t>
            </w:r>
          </w:p>
        </w:tc>
        <w:tc>
          <w:tcPr>
            <w:tcW w:w="2551" w:type="dxa"/>
            <w:vAlign w:val="center"/>
          </w:tcPr>
          <w:p w14:paraId="21DBAC72" w14:textId="57EE10D3" w:rsidR="00291C90" w:rsidRDefault="00291C90" w:rsidP="009B1399">
            <w:pPr>
              <w:rPr>
                <w:rFonts w:asciiTheme="minorEastAsia" w:hAnsiTheme="minorEastAsia"/>
                <w:sz w:val="24"/>
                <w:szCs w:val="24"/>
              </w:rPr>
            </w:pPr>
            <w:r w:rsidRPr="00635AA3">
              <w:rPr>
                <w:rFonts w:hint="eastAsia"/>
                <w:color w:val="000000"/>
                <w:sz w:val="24"/>
                <w:szCs w:val="24"/>
              </w:rPr>
              <w:t>提升医用钛合金性能的等离子体设备研发</w:t>
            </w:r>
          </w:p>
        </w:tc>
        <w:tc>
          <w:tcPr>
            <w:tcW w:w="5812" w:type="dxa"/>
            <w:vAlign w:val="center"/>
          </w:tcPr>
          <w:p w14:paraId="03735441" w14:textId="11BED195" w:rsidR="00291C90" w:rsidRDefault="00291C90" w:rsidP="009B1399">
            <w:pPr>
              <w:ind w:firstLineChars="200" w:firstLine="480"/>
              <w:rPr>
                <w:rFonts w:asciiTheme="minorEastAsia" w:hAnsiTheme="minorEastAsia"/>
                <w:sz w:val="24"/>
                <w:szCs w:val="24"/>
              </w:rPr>
            </w:pPr>
            <w:r>
              <w:rPr>
                <w:rFonts w:hint="eastAsia"/>
                <w:color w:val="000000"/>
                <w:sz w:val="24"/>
                <w:szCs w:val="24"/>
              </w:rPr>
              <w:t>针对多孔钛合金材料的传统制备设备存在无法很好地实现多孔钛合金材料功能化的问题。研制一台多孔钛合金材料改性功能化的等离子设备，以实现</w:t>
            </w:r>
            <w:r w:rsidRPr="00580178">
              <w:rPr>
                <w:rFonts w:hint="eastAsia"/>
                <w:color w:val="000000"/>
                <w:sz w:val="24"/>
                <w:szCs w:val="24"/>
              </w:rPr>
              <w:t>对多孔钛合金进行多维深度仿生构建和表面多功能化处理，在保持材料的三维多孔结构的同时赋予其</w:t>
            </w:r>
            <w:r>
              <w:rPr>
                <w:rFonts w:hint="eastAsia"/>
                <w:color w:val="000000"/>
                <w:sz w:val="24"/>
                <w:szCs w:val="24"/>
              </w:rPr>
              <w:t>生物相容性</w:t>
            </w:r>
            <w:r w:rsidRPr="00580178">
              <w:rPr>
                <w:rFonts w:hint="eastAsia"/>
                <w:color w:val="000000"/>
                <w:sz w:val="24"/>
                <w:szCs w:val="24"/>
              </w:rPr>
              <w:t>、抗感染等多重功能特性，</w:t>
            </w:r>
            <w:r>
              <w:rPr>
                <w:rFonts w:hint="eastAsia"/>
                <w:color w:val="000000"/>
                <w:sz w:val="24"/>
                <w:szCs w:val="24"/>
              </w:rPr>
              <w:t>从而实现</w:t>
            </w:r>
            <w:r>
              <w:rPr>
                <w:color w:val="000000"/>
                <w:sz w:val="24"/>
                <w:szCs w:val="24"/>
              </w:rPr>
              <w:t>多维深度功能化处理</w:t>
            </w:r>
            <w:r>
              <w:rPr>
                <w:rFonts w:hint="eastAsia"/>
                <w:color w:val="000000"/>
                <w:sz w:val="24"/>
                <w:szCs w:val="24"/>
              </w:rPr>
              <w:t>，</w:t>
            </w:r>
            <w:r>
              <w:rPr>
                <w:color w:val="000000"/>
                <w:sz w:val="24"/>
                <w:szCs w:val="24"/>
              </w:rPr>
              <w:t>构筑具有仿生结构和高生物活性的新型医用钛合金</w:t>
            </w:r>
            <w:r>
              <w:rPr>
                <w:rFonts w:hint="eastAsia"/>
                <w:color w:val="000000"/>
                <w:sz w:val="24"/>
                <w:szCs w:val="24"/>
              </w:rPr>
              <w:t>。</w:t>
            </w:r>
          </w:p>
        </w:tc>
      </w:tr>
      <w:tr w:rsidR="00D60506" w:rsidRPr="00FB1F87" w14:paraId="62BFC1DA" w14:textId="77777777" w:rsidTr="00D60506">
        <w:trPr>
          <w:jc w:val="center"/>
        </w:trPr>
        <w:tc>
          <w:tcPr>
            <w:tcW w:w="846" w:type="dxa"/>
            <w:vAlign w:val="center"/>
          </w:tcPr>
          <w:p w14:paraId="51CB378A" w14:textId="3968D4AA" w:rsidR="00D60506" w:rsidRPr="00FB1F87" w:rsidRDefault="00D60506" w:rsidP="009B1399">
            <w:pPr>
              <w:rPr>
                <w:rFonts w:asciiTheme="minorEastAsia" w:hAnsiTheme="minorEastAsia"/>
                <w:sz w:val="24"/>
                <w:szCs w:val="24"/>
              </w:rPr>
            </w:pPr>
            <w:r>
              <w:rPr>
                <w:rFonts w:asciiTheme="minorEastAsia" w:hAnsiTheme="minorEastAsia"/>
                <w:sz w:val="24"/>
                <w:szCs w:val="24"/>
              </w:rPr>
              <w:t>6</w:t>
            </w:r>
          </w:p>
        </w:tc>
        <w:tc>
          <w:tcPr>
            <w:tcW w:w="2551" w:type="dxa"/>
            <w:vAlign w:val="center"/>
          </w:tcPr>
          <w:p w14:paraId="7C1E989F" w14:textId="36C5DBE0" w:rsidR="00D60506" w:rsidRPr="00FB1F87" w:rsidRDefault="00D60506" w:rsidP="009B1399">
            <w:pPr>
              <w:rPr>
                <w:rFonts w:asciiTheme="minorEastAsia" w:hAnsiTheme="minorEastAsia"/>
                <w:sz w:val="24"/>
                <w:szCs w:val="24"/>
              </w:rPr>
            </w:pPr>
            <w:r>
              <w:rPr>
                <w:rFonts w:asciiTheme="minorEastAsia" w:hAnsiTheme="minorEastAsia" w:hint="eastAsia"/>
                <w:sz w:val="24"/>
                <w:szCs w:val="24"/>
              </w:rPr>
              <w:t>基于物联网</w:t>
            </w:r>
            <w:r w:rsidRPr="00FB1F87">
              <w:rPr>
                <w:rFonts w:asciiTheme="minorEastAsia" w:hAnsiTheme="minorEastAsia" w:hint="eastAsia"/>
                <w:sz w:val="24"/>
                <w:szCs w:val="24"/>
              </w:rPr>
              <w:t>智慧消防大数据AI平台</w:t>
            </w:r>
            <w:r w:rsidRPr="000A60A5">
              <w:rPr>
                <w:rFonts w:asciiTheme="minorEastAsia" w:hAnsiTheme="minorEastAsia" w:hint="eastAsia"/>
                <w:sz w:val="24"/>
                <w:szCs w:val="24"/>
              </w:rPr>
              <w:t>研发及产品化应用</w:t>
            </w:r>
          </w:p>
        </w:tc>
        <w:tc>
          <w:tcPr>
            <w:tcW w:w="5812" w:type="dxa"/>
            <w:vAlign w:val="center"/>
          </w:tcPr>
          <w:p w14:paraId="3CD216C1" w14:textId="5129B94E" w:rsidR="00D60506" w:rsidRPr="00FB1F87" w:rsidRDefault="00D60506" w:rsidP="009B1399">
            <w:pPr>
              <w:ind w:firstLineChars="200" w:firstLine="480"/>
              <w:rPr>
                <w:rFonts w:asciiTheme="minorEastAsia" w:hAnsiTheme="minorEastAsia"/>
                <w:sz w:val="24"/>
                <w:szCs w:val="24"/>
              </w:rPr>
            </w:pPr>
            <w:r>
              <w:rPr>
                <w:rFonts w:asciiTheme="minorEastAsia" w:hAnsiTheme="minorEastAsia" w:hint="eastAsia"/>
                <w:sz w:val="24"/>
                <w:szCs w:val="24"/>
              </w:rPr>
              <w:t>基于用户</w:t>
            </w:r>
            <w:r w:rsidRPr="000A60A5">
              <w:rPr>
                <w:rFonts w:asciiTheme="minorEastAsia" w:hAnsiTheme="minorEastAsia" w:hint="eastAsia"/>
                <w:sz w:val="24"/>
                <w:szCs w:val="24"/>
              </w:rPr>
              <w:t>消防设备设施自动化不间断监控管理，有效排查消防隐蔽隐患，有效解决消防人力不足等诸多现实问题，通过分析消防设备生产过程、运行状态，</w:t>
            </w:r>
            <w:r w:rsidRPr="000A60A5">
              <w:rPr>
                <w:rFonts w:asciiTheme="minorEastAsia" w:hAnsiTheme="minorEastAsia" w:hint="eastAsia"/>
                <w:sz w:val="24"/>
                <w:szCs w:val="24"/>
              </w:rPr>
              <w:lastRenderedPageBreak/>
              <w:t>基于</w:t>
            </w:r>
            <w:r>
              <w:rPr>
                <w:rFonts w:asciiTheme="minorEastAsia" w:hAnsiTheme="minorEastAsia" w:hint="eastAsia"/>
                <w:sz w:val="24"/>
                <w:szCs w:val="24"/>
              </w:rPr>
              <w:t>物联网、</w:t>
            </w:r>
            <w:r w:rsidRPr="000A60A5">
              <w:rPr>
                <w:rFonts w:asciiTheme="minorEastAsia" w:hAnsiTheme="minorEastAsia" w:hint="eastAsia"/>
                <w:sz w:val="24"/>
                <w:szCs w:val="24"/>
              </w:rPr>
              <w:t>大数据、云计算、物联网、人工智能等新兴技术，研发智慧消防AI平台，实现基础消防数据的可视化、应急预案指挥的调度精准化、监督维保的流程化、人工智能辅助决策的科学化，为企业生产实现面向消防人工智能物联网产品提供必要的技术支撑</w:t>
            </w:r>
            <w:r>
              <w:rPr>
                <w:rFonts w:asciiTheme="minorEastAsia" w:hAnsiTheme="minorEastAsia" w:hint="eastAsia"/>
                <w:sz w:val="24"/>
                <w:szCs w:val="24"/>
              </w:rPr>
              <w:t>，为用户更提供更智能的可视化消防产品服务</w:t>
            </w:r>
            <w:r w:rsidRPr="000A60A5">
              <w:rPr>
                <w:rFonts w:asciiTheme="minorEastAsia" w:hAnsiTheme="minorEastAsia" w:hint="eastAsia"/>
                <w:sz w:val="24"/>
                <w:szCs w:val="24"/>
              </w:rPr>
              <w:t>。</w:t>
            </w:r>
          </w:p>
        </w:tc>
      </w:tr>
      <w:tr w:rsidR="00D60506" w:rsidRPr="00FB1F87" w14:paraId="05A5C672" w14:textId="77777777" w:rsidTr="00D60506">
        <w:trPr>
          <w:jc w:val="center"/>
        </w:trPr>
        <w:tc>
          <w:tcPr>
            <w:tcW w:w="846" w:type="dxa"/>
            <w:vAlign w:val="center"/>
          </w:tcPr>
          <w:p w14:paraId="717CBCEE" w14:textId="4C0F12F0" w:rsidR="00D60506" w:rsidRPr="00FB1F87" w:rsidRDefault="00D60506" w:rsidP="009B1399">
            <w:pPr>
              <w:rPr>
                <w:rFonts w:asciiTheme="minorEastAsia" w:hAnsiTheme="minorEastAsia"/>
                <w:sz w:val="24"/>
                <w:szCs w:val="24"/>
              </w:rPr>
            </w:pPr>
            <w:r>
              <w:rPr>
                <w:rFonts w:asciiTheme="minorEastAsia" w:hAnsiTheme="minorEastAsia"/>
                <w:sz w:val="24"/>
                <w:szCs w:val="24"/>
              </w:rPr>
              <w:lastRenderedPageBreak/>
              <w:t>7</w:t>
            </w:r>
          </w:p>
        </w:tc>
        <w:tc>
          <w:tcPr>
            <w:tcW w:w="2551" w:type="dxa"/>
            <w:vAlign w:val="center"/>
          </w:tcPr>
          <w:p w14:paraId="5968F683" w14:textId="5F90E203" w:rsidR="00D60506" w:rsidRPr="00FB1F87" w:rsidRDefault="00D60506" w:rsidP="009B1399">
            <w:pPr>
              <w:rPr>
                <w:rFonts w:asciiTheme="minorEastAsia" w:hAnsiTheme="minorEastAsia"/>
                <w:sz w:val="24"/>
                <w:szCs w:val="24"/>
              </w:rPr>
            </w:pPr>
            <w:r w:rsidRPr="00FB1F87">
              <w:rPr>
                <w:rFonts w:asciiTheme="minorEastAsia" w:hAnsiTheme="minorEastAsia" w:hint="eastAsia"/>
                <w:sz w:val="24"/>
                <w:szCs w:val="24"/>
              </w:rPr>
              <w:t>面向高耗能应用场景的光储型能源管理系统研制与产品化应用</w:t>
            </w:r>
          </w:p>
        </w:tc>
        <w:tc>
          <w:tcPr>
            <w:tcW w:w="5812" w:type="dxa"/>
            <w:vAlign w:val="center"/>
          </w:tcPr>
          <w:p w14:paraId="2AC5E9C4" w14:textId="32AA1AE9" w:rsidR="00D60506" w:rsidRPr="00FB1F87" w:rsidRDefault="00D60506" w:rsidP="009B1399">
            <w:pPr>
              <w:ind w:firstLineChars="200" w:firstLine="480"/>
              <w:rPr>
                <w:rFonts w:asciiTheme="minorEastAsia" w:hAnsiTheme="minorEastAsia"/>
                <w:sz w:val="24"/>
                <w:szCs w:val="24"/>
              </w:rPr>
            </w:pPr>
            <w:bookmarkStart w:id="0" w:name="_GoBack"/>
            <w:bookmarkEnd w:id="0"/>
            <w:r w:rsidRPr="000A60A5">
              <w:rPr>
                <w:rFonts w:asciiTheme="minorEastAsia" w:hAnsiTheme="minorEastAsia" w:hint="eastAsia"/>
                <w:sz w:val="24"/>
                <w:szCs w:val="24"/>
              </w:rPr>
              <w:t>针对高耗能工业应用场景，通过分析高耗能企业的运行管理模式和能源需求，基于大数据和人工智能技术，研发</w:t>
            </w:r>
            <w:r>
              <w:rPr>
                <w:rFonts w:asciiTheme="minorEastAsia" w:hAnsiTheme="minorEastAsia" w:hint="eastAsia"/>
                <w:sz w:val="24"/>
                <w:szCs w:val="24"/>
              </w:rPr>
              <w:t>一套更</w:t>
            </w:r>
            <w:r w:rsidRPr="000A60A5">
              <w:rPr>
                <w:rFonts w:asciiTheme="minorEastAsia" w:hAnsiTheme="minorEastAsia" w:hint="eastAsia"/>
                <w:sz w:val="24"/>
                <w:szCs w:val="24"/>
              </w:rPr>
              <w:t>适合高耗能企业应用的新型光储型能量管理系统，该系统应包含光伏侧管理，同时为风电、余热发电等分布式能源的接入预留升级空间，进而从能量管理、电池管理、运行调度、指标监控等方面，实现智能化的光储一体化管理，为企业</w:t>
            </w:r>
            <w:r>
              <w:rPr>
                <w:rFonts w:asciiTheme="minorEastAsia" w:hAnsiTheme="minorEastAsia" w:hint="eastAsia"/>
                <w:sz w:val="24"/>
                <w:szCs w:val="24"/>
              </w:rPr>
              <w:t>用户的</w:t>
            </w:r>
            <w:r w:rsidRPr="000A60A5">
              <w:rPr>
                <w:rFonts w:asciiTheme="minorEastAsia" w:hAnsiTheme="minorEastAsia" w:hint="eastAsia"/>
                <w:sz w:val="24"/>
                <w:szCs w:val="24"/>
              </w:rPr>
              <w:t>生产实现面向高耗能应用场景的综合能源管理产品提供良好的技术支撑。</w:t>
            </w:r>
          </w:p>
        </w:tc>
      </w:tr>
      <w:tr w:rsidR="00D60506" w:rsidRPr="00FB1F87" w14:paraId="200C0172" w14:textId="77777777" w:rsidTr="00D60506">
        <w:trPr>
          <w:jc w:val="center"/>
        </w:trPr>
        <w:tc>
          <w:tcPr>
            <w:tcW w:w="846" w:type="dxa"/>
            <w:vAlign w:val="center"/>
          </w:tcPr>
          <w:p w14:paraId="43BAA668" w14:textId="01C96364" w:rsidR="00D60506" w:rsidRPr="00FB1F87" w:rsidRDefault="00D60506" w:rsidP="009B1399">
            <w:pPr>
              <w:rPr>
                <w:rFonts w:asciiTheme="minorEastAsia" w:hAnsiTheme="minorEastAsia"/>
                <w:sz w:val="24"/>
                <w:szCs w:val="24"/>
              </w:rPr>
            </w:pPr>
            <w:r>
              <w:rPr>
                <w:rFonts w:asciiTheme="minorEastAsia" w:hAnsiTheme="minorEastAsia"/>
                <w:sz w:val="24"/>
                <w:szCs w:val="24"/>
              </w:rPr>
              <w:t>8</w:t>
            </w:r>
          </w:p>
        </w:tc>
        <w:tc>
          <w:tcPr>
            <w:tcW w:w="2551" w:type="dxa"/>
            <w:vAlign w:val="center"/>
          </w:tcPr>
          <w:p w14:paraId="6A8EB6F3" w14:textId="543B6B6C" w:rsidR="00D60506" w:rsidRPr="00FB1F87" w:rsidRDefault="00D60506" w:rsidP="009B1399">
            <w:pPr>
              <w:rPr>
                <w:rFonts w:asciiTheme="minorEastAsia" w:hAnsiTheme="minorEastAsia"/>
                <w:sz w:val="24"/>
                <w:szCs w:val="24"/>
              </w:rPr>
            </w:pPr>
            <w:r>
              <w:rPr>
                <w:rFonts w:asciiTheme="minorEastAsia" w:hAnsiTheme="minorEastAsia" w:hint="eastAsia"/>
                <w:sz w:val="24"/>
                <w:szCs w:val="24"/>
              </w:rPr>
              <w:t>起重机</w:t>
            </w:r>
            <w:r w:rsidRPr="00FB1F87">
              <w:rPr>
                <w:rFonts w:asciiTheme="minorEastAsia" w:hAnsiTheme="minorEastAsia" w:hint="eastAsia"/>
                <w:sz w:val="24"/>
                <w:szCs w:val="24"/>
              </w:rPr>
              <w:t>作业</w:t>
            </w:r>
            <w:r>
              <w:rPr>
                <w:rFonts w:asciiTheme="minorEastAsia" w:hAnsiTheme="minorEastAsia" w:hint="eastAsia"/>
                <w:sz w:val="24"/>
                <w:szCs w:val="24"/>
              </w:rPr>
              <w:t>平台</w:t>
            </w:r>
            <w:r w:rsidRPr="00FB1F87">
              <w:rPr>
                <w:rFonts w:asciiTheme="minorEastAsia" w:hAnsiTheme="minorEastAsia" w:hint="eastAsia"/>
                <w:sz w:val="24"/>
                <w:szCs w:val="24"/>
              </w:rPr>
              <w:t>可靠性无人化</w:t>
            </w:r>
            <w:r w:rsidRPr="00240DEE">
              <w:rPr>
                <w:rFonts w:asciiTheme="minorEastAsia" w:hAnsiTheme="minorEastAsia" w:hint="eastAsia"/>
                <w:sz w:val="24"/>
                <w:szCs w:val="24"/>
              </w:rPr>
              <w:t>系统研制及产品化应用</w:t>
            </w:r>
          </w:p>
        </w:tc>
        <w:tc>
          <w:tcPr>
            <w:tcW w:w="5812" w:type="dxa"/>
            <w:vAlign w:val="center"/>
          </w:tcPr>
          <w:p w14:paraId="000D79F3" w14:textId="48B6D7FA" w:rsidR="00D60506" w:rsidRPr="00FB1F87" w:rsidRDefault="00D60506" w:rsidP="009B1399">
            <w:pPr>
              <w:ind w:firstLineChars="200" w:firstLine="480"/>
              <w:rPr>
                <w:rFonts w:asciiTheme="minorEastAsia" w:hAnsiTheme="minorEastAsia"/>
                <w:sz w:val="24"/>
                <w:szCs w:val="24"/>
              </w:rPr>
            </w:pPr>
            <w:r>
              <w:rPr>
                <w:rFonts w:asciiTheme="minorEastAsia" w:hAnsiTheme="minorEastAsia" w:hint="eastAsia"/>
                <w:sz w:val="24"/>
                <w:szCs w:val="24"/>
              </w:rPr>
              <w:t>针对</w:t>
            </w:r>
            <w:r w:rsidRPr="000A60A5">
              <w:rPr>
                <w:rFonts w:asciiTheme="minorEastAsia" w:hAnsiTheme="minorEastAsia" w:hint="eastAsia"/>
                <w:sz w:val="24"/>
                <w:szCs w:val="24"/>
              </w:rPr>
              <w:t>起重机</w:t>
            </w:r>
            <w:r>
              <w:rPr>
                <w:rFonts w:asciiTheme="minorEastAsia" w:hAnsiTheme="minorEastAsia" w:hint="eastAsia"/>
                <w:sz w:val="24"/>
                <w:szCs w:val="24"/>
              </w:rPr>
              <w:t>作业</w:t>
            </w:r>
            <w:r w:rsidRPr="000A60A5">
              <w:rPr>
                <w:rFonts w:asciiTheme="minorEastAsia" w:hAnsiTheme="minorEastAsia" w:hint="eastAsia"/>
                <w:sz w:val="24"/>
                <w:szCs w:val="24"/>
              </w:rPr>
              <w:t>现场存在的环境较差、高温、粉尘、工人劳动强度高、效率低、安全可靠性差、人身伤害事故多发等</w:t>
            </w:r>
            <w:r>
              <w:rPr>
                <w:rFonts w:asciiTheme="minorEastAsia" w:hAnsiTheme="minorEastAsia" w:hint="eastAsia"/>
                <w:sz w:val="24"/>
                <w:szCs w:val="24"/>
              </w:rPr>
              <w:t>复杂作业</w:t>
            </w:r>
            <w:r w:rsidRPr="000A60A5">
              <w:rPr>
                <w:rFonts w:asciiTheme="minorEastAsia" w:hAnsiTheme="minorEastAsia" w:hint="eastAsia"/>
                <w:sz w:val="24"/>
                <w:szCs w:val="24"/>
              </w:rPr>
              <w:t>问题，通过分析作业现场的运行管理模式和智能化需求，基于人工智能、基础自动化、无线通讯和ERP信息整合技术，研发作业可靠性无人化智能起重机控制系统，该系统具有人机交互功能和自诊断功能，能自动识别周围环境，模拟</w:t>
            </w:r>
            <w:r>
              <w:rPr>
                <w:rFonts w:asciiTheme="minorEastAsia" w:hAnsiTheme="minorEastAsia" w:hint="eastAsia"/>
                <w:sz w:val="24"/>
                <w:szCs w:val="24"/>
              </w:rPr>
              <w:t>真</w:t>
            </w:r>
            <w:r w:rsidRPr="000A60A5">
              <w:rPr>
                <w:rFonts w:asciiTheme="minorEastAsia" w:hAnsiTheme="minorEastAsia" w:hint="eastAsia"/>
                <w:sz w:val="24"/>
                <w:szCs w:val="24"/>
              </w:rPr>
              <w:t>人操作，自动起吊运送物料。为企业生产运用面向自动化、信息化、智能化的起重机产品提供重要的技术支撑。</w:t>
            </w:r>
          </w:p>
        </w:tc>
      </w:tr>
      <w:tr w:rsidR="00D60506" w:rsidRPr="00FB1F87" w14:paraId="40643DD3" w14:textId="77777777" w:rsidTr="00D60506">
        <w:trPr>
          <w:trHeight w:val="1826"/>
          <w:jc w:val="center"/>
        </w:trPr>
        <w:tc>
          <w:tcPr>
            <w:tcW w:w="846" w:type="dxa"/>
            <w:vAlign w:val="center"/>
          </w:tcPr>
          <w:p w14:paraId="6F79C175" w14:textId="016D09E5" w:rsidR="00D60506" w:rsidRPr="00FB1F87" w:rsidRDefault="00D60506" w:rsidP="009B1399">
            <w:pPr>
              <w:rPr>
                <w:rFonts w:asciiTheme="minorEastAsia" w:hAnsiTheme="minorEastAsia"/>
                <w:sz w:val="24"/>
                <w:szCs w:val="24"/>
              </w:rPr>
            </w:pPr>
            <w:r>
              <w:rPr>
                <w:rFonts w:asciiTheme="minorEastAsia" w:hAnsiTheme="minorEastAsia"/>
                <w:sz w:val="24"/>
                <w:szCs w:val="24"/>
              </w:rPr>
              <w:t>9</w:t>
            </w:r>
          </w:p>
        </w:tc>
        <w:tc>
          <w:tcPr>
            <w:tcW w:w="2551" w:type="dxa"/>
            <w:vAlign w:val="center"/>
          </w:tcPr>
          <w:p w14:paraId="2CFF9F90" w14:textId="06950261" w:rsidR="00D60506" w:rsidRPr="00FB1F87" w:rsidRDefault="00D60506" w:rsidP="009B1399">
            <w:pPr>
              <w:rPr>
                <w:rFonts w:asciiTheme="minorEastAsia" w:hAnsiTheme="minorEastAsia"/>
                <w:sz w:val="24"/>
                <w:szCs w:val="24"/>
              </w:rPr>
            </w:pPr>
            <w:r w:rsidRPr="00671BED">
              <w:rPr>
                <w:rFonts w:asciiTheme="minorEastAsia" w:hAnsiTheme="minorEastAsia" w:hint="eastAsia"/>
                <w:sz w:val="24"/>
                <w:szCs w:val="24"/>
              </w:rPr>
              <w:t>基于工业物联网的生产大数据SPC分析产品研制</w:t>
            </w:r>
          </w:p>
        </w:tc>
        <w:tc>
          <w:tcPr>
            <w:tcW w:w="5812" w:type="dxa"/>
            <w:vAlign w:val="center"/>
          </w:tcPr>
          <w:p w14:paraId="65992D1A" w14:textId="29886837" w:rsidR="00D60506" w:rsidRPr="00E41770" w:rsidRDefault="00D60506" w:rsidP="009B1399">
            <w:pPr>
              <w:ind w:firstLineChars="200" w:firstLine="480"/>
              <w:rPr>
                <w:rFonts w:asciiTheme="minorEastAsia" w:hAnsiTheme="minorEastAsia"/>
                <w:sz w:val="24"/>
                <w:szCs w:val="24"/>
              </w:rPr>
            </w:pPr>
            <w:r w:rsidRPr="00E41770">
              <w:rPr>
                <w:rFonts w:asciiTheme="minorEastAsia" w:hAnsiTheme="minorEastAsia" w:hint="eastAsia"/>
                <w:sz w:val="24"/>
                <w:szCs w:val="24"/>
              </w:rPr>
              <w:t>以工业网物联网为基础</w:t>
            </w:r>
            <w:r>
              <w:rPr>
                <w:rFonts w:asciiTheme="minorEastAsia" w:hAnsiTheme="minorEastAsia" w:hint="eastAsia"/>
                <w:sz w:val="24"/>
                <w:szCs w:val="24"/>
              </w:rPr>
              <w:t>，通过</w:t>
            </w:r>
            <w:r w:rsidRPr="00E41770">
              <w:rPr>
                <w:rFonts w:asciiTheme="minorEastAsia" w:hAnsiTheme="minorEastAsia" w:hint="eastAsia"/>
                <w:sz w:val="24"/>
                <w:szCs w:val="24"/>
              </w:rPr>
              <w:t>MES系统将工厂车间的</w:t>
            </w:r>
            <w:r>
              <w:rPr>
                <w:rFonts w:asciiTheme="minorEastAsia" w:hAnsiTheme="minorEastAsia" w:hint="eastAsia"/>
                <w:sz w:val="24"/>
                <w:szCs w:val="24"/>
              </w:rPr>
              <w:t>主要生产设备的</w:t>
            </w:r>
            <w:r w:rsidRPr="00E41770">
              <w:rPr>
                <w:rFonts w:asciiTheme="minorEastAsia" w:hAnsiTheme="minorEastAsia" w:hint="eastAsia"/>
                <w:sz w:val="24"/>
                <w:szCs w:val="24"/>
              </w:rPr>
              <w:t>工艺参数进行采集并处理，开发离线实验室数据SPC以及在线工艺参数SPC，实现机台数据智能抓取，收集、分类汇总并实现智能BI报表展示。通过数据智能分析，对比等多维度利用，助力优化生产工艺，提高生产效率</w:t>
            </w:r>
            <w:r>
              <w:rPr>
                <w:rFonts w:asciiTheme="minorEastAsia" w:hAnsiTheme="minorEastAsia" w:hint="eastAsia"/>
                <w:sz w:val="24"/>
                <w:szCs w:val="24"/>
              </w:rPr>
              <w:t>，降低产品生产成本</w:t>
            </w:r>
            <w:r w:rsidRPr="00E41770">
              <w:rPr>
                <w:rFonts w:asciiTheme="minorEastAsia" w:hAnsiTheme="minorEastAsia" w:hint="eastAsia"/>
                <w:sz w:val="24"/>
                <w:szCs w:val="24"/>
              </w:rPr>
              <w:t>。</w:t>
            </w:r>
          </w:p>
        </w:tc>
      </w:tr>
      <w:tr w:rsidR="00D60506" w:rsidRPr="00FB1F87" w14:paraId="62D00532" w14:textId="77777777" w:rsidTr="00D60506">
        <w:trPr>
          <w:trHeight w:val="1826"/>
          <w:jc w:val="center"/>
        </w:trPr>
        <w:tc>
          <w:tcPr>
            <w:tcW w:w="846" w:type="dxa"/>
            <w:vAlign w:val="center"/>
          </w:tcPr>
          <w:p w14:paraId="508F7B68" w14:textId="63B65E4D" w:rsidR="00D60506" w:rsidRPr="00FB1F87" w:rsidRDefault="00D60506" w:rsidP="009B1399">
            <w:pPr>
              <w:rPr>
                <w:rFonts w:asciiTheme="minorEastAsia" w:hAnsiTheme="minorEastAsia"/>
                <w:sz w:val="24"/>
                <w:szCs w:val="24"/>
              </w:rPr>
            </w:pPr>
            <w:r>
              <w:rPr>
                <w:rFonts w:asciiTheme="minorEastAsia" w:hAnsiTheme="minorEastAsia"/>
                <w:sz w:val="24"/>
                <w:szCs w:val="24"/>
              </w:rPr>
              <w:t>10</w:t>
            </w:r>
          </w:p>
        </w:tc>
        <w:tc>
          <w:tcPr>
            <w:tcW w:w="2551" w:type="dxa"/>
            <w:vAlign w:val="center"/>
          </w:tcPr>
          <w:p w14:paraId="2B7E1B8D" w14:textId="7E692535" w:rsidR="00755695" w:rsidRPr="00FB1F87" w:rsidRDefault="00755695" w:rsidP="009B1399">
            <w:pPr>
              <w:rPr>
                <w:rFonts w:asciiTheme="minorEastAsia" w:hAnsiTheme="minorEastAsia" w:hint="eastAsia"/>
                <w:sz w:val="24"/>
                <w:szCs w:val="24"/>
              </w:rPr>
            </w:pPr>
            <w:r>
              <w:rPr>
                <w:rFonts w:asciiTheme="minorEastAsia" w:hAnsiTheme="minorEastAsia" w:hint="eastAsia"/>
                <w:sz w:val="24"/>
                <w:szCs w:val="24"/>
              </w:rPr>
              <w:t>垃圾渗滤液减量化系统相关技术开发</w:t>
            </w:r>
          </w:p>
        </w:tc>
        <w:tc>
          <w:tcPr>
            <w:tcW w:w="5812" w:type="dxa"/>
            <w:vAlign w:val="center"/>
          </w:tcPr>
          <w:p w14:paraId="1FF3B0BD" w14:textId="5B632DBC" w:rsidR="00D60506" w:rsidRPr="00FB1F87" w:rsidRDefault="00291C90" w:rsidP="009B1399">
            <w:pPr>
              <w:ind w:firstLine="420"/>
              <w:rPr>
                <w:rFonts w:asciiTheme="minorEastAsia" w:hAnsiTheme="minorEastAsia"/>
                <w:sz w:val="24"/>
                <w:szCs w:val="24"/>
              </w:rPr>
            </w:pPr>
            <w:r w:rsidRPr="00E41770">
              <w:rPr>
                <w:rFonts w:asciiTheme="minorEastAsia" w:hAnsiTheme="minorEastAsia" w:hint="eastAsia"/>
                <w:sz w:val="24"/>
                <w:szCs w:val="24"/>
              </w:rPr>
              <w:t>针对城市垃圾站中垃圾渗滤液体量大、难处理的难点，研发可移动式垃圾渗滤液减量化系统，实现垃圾渗滤液中水的回收利用，最大程度的减少垃圾渗滤液的排放，为城市垃圾站的运营提供良好的技术支撑。</w:t>
            </w:r>
          </w:p>
        </w:tc>
      </w:tr>
    </w:tbl>
    <w:p w14:paraId="07A045AA" w14:textId="77777777" w:rsidR="00712B4E" w:rsidRPr="0039311C" w:rsidRDefault="00712B4E" w:rsidP="009D2B62">
      <w:pPr>
        <w:widowControl/>
        <w:jc w:val="left"/>
        <w:rPr>
          <w:rFonts w:ascii="宋体" w:eastAsia="宋体" w:hAnsi="宋体"/>
          <w:sz w:val="24"/>
          <w:szCs w:val="24"/>
        </w:rPr>
      </w:pPr>
    </w:p>
    <w:sectPr w:rsidR="00712B4E" w:rsidRPr="0039311C" w:rsidSect="00712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D7A5" w14:textId="77777777" w:rsidR="00EA6C02" w:rsidRDefault="00EA6C02" w:rsidP="00F0783C">
      <w:r>
        <w:separator/>
      </w:r>
    </w:p>
  </w:endnote>
  <w:endnote w:type="continuationSeparator" w:id="0">
    <w:p w14:paraId="2A925CA3" w14:textId="77777777" w:rsidR="00EA6C02" w:rsidRDefault="00EA6C02" w:rsidP="00F0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C44EC" w14:textId="77777777" w:rsidR="00EA6C02" w:rsidRDefault="00EA6C02" w:rsidP="00F0783C">
      <w:r>
        <w:separator/>
      </w:r>
    </w:p>
  </w:footnote>
  <w:footnote w:type="continuationSeparator" w:id="0">
    <w:p w14:paraId="594C1D2C" w14:textId="77777777" w:rsidR="00EA6C02" w:rsidRDefault="00EA6C02" w:rsidP="00F07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37175"/>
    <w:multiLevelType w:val="hybridMultilevel"/>
    <w:tmpl w:val="8DCEC2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62"/>
    <w:rsid w:val="00012F2A"/>
    <w:rsid w:val="00031DC7"/>
    <w:rsid w:val="00032642"/>
    <w:rsid w:val="000350A7"/>
    <w:rsid w:val="00041266"/>
    <w:rsid w:val="0005240E"/>
    <w:rsid w:val="00066A78"/>
    <w:rsid w:val="00070E0B"/>
    <w:rsid w:val="00091ADD"/>
    <w:rsid w:val="000931C8"/>
    <w:rsid w:val="000A60A5"/>
    <w:rsid w:val="000B16A5"/>
    <w:rsid w:val="000D70C3"/>
    <w:rsid w:val="000F6A27"/>
    <w:rsid w:val="000F7454"/>
    <w:rsid w:val="001069CC"/>
    <w:rsid w:val="00122FDD"/>
    <w:rsid w:val="0012515D"/>
    <w:rsid w:val="001717EB"/>
    <w:rsid w:val="00184E02"/>
    <w:rsid w:val="001B584F"/>
    <w:rsid w:val="001B5B29"/>
    <w:rsid w:val="001C7DF9"/>
    <w:rsid w:val="001D34AC"/>
    <w:rsid w:val="001E1B2C"/>
    <w:rsid w:val="001E4C33"/>
    <w:rsid w:val="001F5E5C"/>
    <w:rsid w:val="002018F4"/>
    <w:rsid w:val="002042AA"/>
    <w:rsid w:val="00207D48"/>
    <w:rsid w:val="00223320"/>
    <w:rsid w:val="00224015"/>
    <w:rsid w:val="00231FDE"/>
    <w:rsid w:val="00240DEE"/>
    <w:rsid w:val="0025470D"/>
    <w:rsid w:val="00265DB1"/>
    <w:rsid w:val="002866C1"/>
    <w:rsid w:val="00291C90"/>
    <w:rsid w:val="00292F95"/>
    <w:rsid w:val="002F1CA5"/>
    <w:rsid w:val="0030335B"/>
    <w:rsid w:val="0031165F"/>
    <w:rsid w:val="003135DB"/>
    <w:rsid w:val="00325A87"/>
    <w:rsid w:val="0034199D"/>
    <w:rsid w:val="00347661"/>
    <w:rsid w:val="00350293"/>
    <w:rsid w:val="003671ED"/>
    <w:rsid w:val="0037085B"/>
    <w:rsid w:val="00372338"/>
    <w:rsid w:val="0039311C"/>
    <w:rsid w:val="003C23BE"/>
    <w:rsid w:val="003C295B"/>
    <w:rsid w:val="003C4D7D"/>
    <w:rsid w:val="003C57E2"/>
    <w:rsid w:val="003D142F"/>
    <w:rsid w:val="003D1E7F"/>
    <w:rsid w:val="003D4EB7"/>
    <w:rsid w:val="003E2098"/>
    <w:rsid w:val="003E4B85"/>
    <w:rsid w:val="003E52FE"/>
    <w:rsid w:val="003E57A1"/>
    <w:rsid w:val="00424ED7"/>
    <w:rsid w:val="00442F69"/>
    <w:rsid w:val="00443217"/>
    <w:rsid w:val="00460F65"/>
    <w:rsid w:val="004612E9"/>
    <w:rsid w:val="004706D4"/>
    <w:rsid w:val="00474255"/>
    <w:rsid w:val="00487CDD"/>
    <w:rsid w:val="004A7573"/>
    <w:rsid w:val="004B3ED4"/>
    <w:rsid w:val="00506C7D"/>
    <w:rsid w:val="005403B3"/>
    <w:rsid w:val="00552CBC"/>
    <w:rsid w:val="00552CF9"/>
    <w:rsid w:val="005607EC"/>
    <w:rsid w:val="00571A8A"/>
    <w:rsid w:val="005853A2"/>
    <w:rsid w:val="00590D3F"/>
    <w:rsid w:val="005B7C4E"/>
    <w:rsid w:val="005C427B"/>
    <w:rsid w:val="005E36D9"/>
    <w:rsid w:val="005E3C96"/>
    <w:rsid w:val="005F42B3"/>
    <w:rsid w:val="005F627A"/>
    <w:rsid w:val="005F64A6"/>
    <w:rsid w:val="00611DDC"/>
    <w:rsid w:val="00613DDF"/>
    <w:rsid w:val="0061512A"/>
    <w:rsid w:val="0062476A"/>
    <w:rsid w:val="006339FC"/>
    <w:rsid w:val="00656189"/>
    <w:rsid w:val="00671BED"/>
    <w:rsid w:val="00680A5C"/>
    <w:rsid w:val="00685339"/>
    <w:rsid w:val="00685D2E"/>
    <w:rsid w:val="00696D64"/>
    <w:rsid w:val="006A208D"/>
    <w:rsid w:val="006B2E3B"/>
    <w:rsid w:val="006B4419"/>
    <w:rsid w:val="006C2DD8"/>
    <w:rsid w:val="006E4796"/>
    <w:rsid w:val="006E78C1"/>
    <w:rsid w:val="00701753"/>
    <w:rsid w:val="007039B0"/>
    <w:rsid w:val="00705497"/>
    <w:rsid w:val="00712B4E"/>
    <w:rsid w:val="007132A6"/>
    <w:rsid w:val="0071500A"/>
    <w:rsid w:val="007342F3"/>
    <w:rsid w:val="007439B6"/>
    <w:rsid w:val="00746879"/>
    <w:rsid w:val="00747D82"/>
    <w:rsid w:val="00755695"/>
    <w:rsid w:val="00760F48"/>
    <w:rsid w:val="00775DB5"/>
    <w:rsid w:val="007A0841"/>
    <w:rsid w:val="007A3CEE"/>
    <w:rsid w:val="007A4AFE"/>
    <w:rsid w:val="007B1BF8"/>
    <w:rsid w:val="007C3AB4"/>
    <w:rsid w:val="007D5C09"/>
    <w:rsid w:val="007F49BD"/>
    <w:rsid w:val="0080122D"/>
    <w:rsid w:val="00803C5E"/>
    <w:rsid w:val="0082042A"/>
    <w:rsid w:val="00836E78"/>
    <w:rsid w:val="008405C4"/>
    <w:rsid w:val="008834E4"/>
    <w:rsid w:val="008D6585"/>
    <w:rsid w:val="0090494F"/>
    <w:rsid w:val="009105C9"/>
    <w:rsid w:val="00925FC1"/>
    <w:rsid w:val="00941F16"/>
    <w:rsid w:val="00960C4F"/>
    <w:rsid w:val="00961C21"/>
    <w:rsid w:val="00971520"/>
    <w:rsid w:val="009771B6"/>
    <w:rsid w:val="0098044A"/>
    <w:rsid w:val="00982BE0"/>
    <w:rsid w:val="00984752"/>
    <w:rsid w:val="00996985"/>
    <w:rsid w:val="009B1399"/>
    <w:rsid w:val="009B4250"/>
    <w:rsid w:val="009B65E2"/>
    <w:rsid w:val="009D1A72"/>
    <w:rsid w:val="009D2B62"/>
    <w:rsid w:val="00A07FB8"/>
    <w:rsid w:val="00A13B93"/>
    <w:rsid w:val="00A413F1"/>
    <w:rsid w:val="00A41C68"/>
    <w:rsid w:val="00A62BEE"/>
    <w:rsid w:val="00A70EF9"/>
    <w:rsid w:val="00A82620"/>
    <w:rsid w:val="00AA4517"/>
    <w:rsid w:val="00AA55A0"/>
    <w:rsid w:val="00AB44AE"/>
    <w:rsid w:val="00B0076C"/>
    <w:rsid w:val="00B1164F"/>
    <w:rsid w:val="00B518E6"/>
    <w:rsid w:val="00B51B25"/>
    <w:rsid w:val="00B579AE"/>
    <w:rsid w:val="00B6106B"/>
    <w:rsid w:val="00B76262"/>
    <w:rsid w:val="00B91267"/>
    <w:rsid w:val="00B97907"/>
    <w:rsid w:val="00BA7707"/>
    <w:rsid w:val="00BB1E23"/>
    <w:rsid w:val="00BC178A"/>
    <w:rsid w:val="00BD55BB"/>
    <w:rsid w:val="00BE3D62"/>
    <w:rsid w:val="00C46BC3"/>
    <w:rsid w:val="00C61618"/>
    <w:rsid w:val="00C77373"/>
    <w:rsid w:val="00C81BF7"/>
    <w:rsid w:val="00C84AD3"/>
    <w:rsid w:val="00C8620E"/>
    <w:rsid w:val="00CB0A79"/>
    <w:rsid w:val="00CD176A"/>
    <w:rsid w:val="00CE2CB8"/>
    <w:rsid w:val="00CF0E35"/>
    <w:rsid w:val="00CF18CD"/>
    <w:rsid w:val="00D15B9C"/>
    <w:rsid w:val="00D2241D"/>
    <w:rsid w:val="00D33DD3"/>
    <w:rsid w:val="00D409E5"/>
    <w:rsid w:val="00D45DD2"/>
    <w:rsid w:val="00D60506"/>
    <w:rsid w:val="00D64D4C"/>
    <w:rsid w:val="00D879CD"/>
    <w:rsid w:val="00D97BFC"/>
    <w:rsid w:val="00DA38A9"/>
    <w:rsid w:val="00DB02DB"/>
    <w:rsid w:val="00DC75AB"/>
    <w:rsid w:val="00DE1EF5"/>
    <w:rsid w:val="00DE3D72"/>
    <w:rsid w:val="00DE62DA"/>
    <w:rsid w:val="00DF1D83"/>
    <w:rsid w:val="00E03674"/>
    <w:rsid w:val="00E04FA5"/>
    <w:rsid w:val="00E050FB"/>
    <w:rsid w:val="00E116CF"/>
    <w:rsid w:val="00E15748"/>
    <w:rsid w:val="00E41031"/>
    <w:rsid w:val="00E41770"/>
    <w:rsid w:val="00E57AE9"/>
    <w:rsid w:val="00E6218B"/>
    <w:rsid w:val="00E63E6B"/>
    <w:rsid w:val="00E6461A"/>
    <w:rsid w:val="00E74188"/>
    <w:rsid w:val="00E76E24"/>
    <w:rsid w:val="00E83F51"/>
    <w:rsid w:val="00E92258"/>
    <w:rsid w:val="00EA1972"/>
    <w:rsid w:val="00EA6C02"/>
    <w:rsid w:val="00EE3966"/>
    <w:rsid w:val="00F07280"/>
    <w:rsid w:val="00F0783C"/>
    <w:rsid w:val="00F16E19"/>
    <w:rsid w:val="00F179D5"/>
    <w:rsid w:val="00F43931"/>
    <w:rsid w:val="00F5220F"/>
    <w:rsid w:val="00F56FAF"/>
    <w:rsid w:val="00F64C4B"/>
    <w:rsid w:val="00FA579E"/>
    <w:rsid w:val="00FA741F"/>
    <w:rsid w:val="00FB1F87"/>
    <w:rsid w:val="00FC0661"/>
    <w:rsid w:val="00FC37FE"/>
    <w:rsid w:val="00FC63B4"/>
    <w:rsid w:val="00FE7416"/>
    <w:rsid w:val="00FF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48C9"/>
  <w15:docId w15:val="{A130C54C-01E0-4309-83F0-855C38A0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D2B62"/>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D2B62"/>
    <w:pPr>
      <w:ind w:firstLineChars="200" w:firstLine="420"/>
    </w:pPr>
    <w:rPr>
      <w:rFonts w:ascii="Calibri" w:eastAsia="宋体" w:hAnsi="Calibri" w:cs="Times New Roman"/>
    </w:rPr>
  </w:style>
  <w:style w:type="paragraph" w:styleId="a5">
    <w:name w:val="header"/>
    <w:basedOn w:val="a"/>
    <w:link w:val="Char"/>
    <w:uiPriority w:val="99"/>
    <w:unhideWhenUsed/>
    <w:rsid w:val="00F07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0783C"/>
    <w:rPr>
      <w:sz w:val="18"/>
      <w:szCs w:val="18"/>
    </w:rPr>
  </w:style>
  <w:style w:type="paragraph" w:styleId="a6">
    <w:name w:val="footer"/>
    <w:basedOn w:val="a"/>
    <w:link w:val="Char0"/>
    <w:uiPriority w:val="99"/>
    <w:unhideWhenUsed/>
    <w:rsid w:val="00F0783C"/>
    <w:pPr>
      <w:tabs>
        <w:tab w:val="center" w:pos="4153"/>
        <w:tab w:val="right" w:pos="8306"/>
      </w:tabs>
      <w:snapToGrid w:val="0"/>
      <w:jc w:val="left"/>
    </w:pPr>
    <w:rPr>
      <w:sz w:val="18"/>
      <w:szCs w:val="18"/>
    </w:rPr>
  </w:style>
  <w:style w:type="character" w:customStyle="1" w:styleId="Char0">
    <w:name w:val="页脚 Char"/>
    <w:basedOn w:val="a0"/>
    <w:link w:val="a6"/>
    <w:uiPriority w:val="99"/>
    <w:rsid w:val="00F078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wulei</dc:creator>
  <cp:lastModifiedBy>郑燕</cp:lastModifiedBy>
  <cp:revision>2</cp:revision>
  <dcterms:created xsi:type="dcterms:W3CDTF">2020-10-12T06:13:00Z</dcterms:created>
  <dcterms:modified xsi:type="dcterms:W3CDTF">2020-10-12T06:13:00Z</dcterms:modified>
</cp:coreProperties>
</file>